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Interview with Jesse Oak Taylor</w:t>
      </w:r>
    </w:p>
    <w:p w:rsidR="00000000" w:rsidDel="00000000" w:rsidP="00000000" w:rsidRDefault="00000000" w:rsidRPr="00000000" w14:paraId="00000002">
      <w:pPr>
        <w:rPr>
          <w:b w:val="1"/>
          <w:color w:val="000000"/>
          <w:sz w:val="28"/>
          <w:szCs w:val="28"/>
        </w:rPr>
      </w:pPr>
      <w:r w:rsidDel="00000000" w:rsidR="00000000" w:rsidRPr="00000000">
        <w:rPr>
          <w:b w:val="1"/>
          <w:color w:val="000000"/>
          <w:sz w:val="28"/>
          <w:szCs w:val="28"/>
          <w:rtl w:val="0"/>
        </w:rPr>
        <w:t xml:space="preserve">“Dwelling Critically: Ecocriticism and Public-Facing Writing”</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ANNIE DWYER: Welcome to </w:t>
      </w:r>
      <w:r w:rsidDel="00000000" w:rsidR="00000000" w:rsidRPr="00000000">
        <w:rPr>
          <w:i w:val="1"/>
          <w:color w:val="000000"/>
          <w:rtl w:val="0"/>
        </w:rPr>
        <w:t xml:space="preserve">Going Public</w:t>
      </w:r>
      <w:r w:rsidDel="00000000" w:rsidR="00000000" w:rsidRPr="00000000">
        <w:rPr>
          <w:color w:val="000000"/>
          <w:rtl w:val="0"/>
        </w:rPr>
        <w:t xml:space="preserve">, a podcast dedicated to exploring public scholarship and publicly-engaged teaching in the humanities. My name is Annie Dwyer and, at the time of this recording, I am the Assistant Program Director of a Mellon initiative at the University of Washington’s Simpson Center for the Humanities. </w:t>
      </w:r>
    </w:p>
    <w:p w:rsidR="00000000" w:rsidDel="00000000" w:rsidP="00000000" w:rsidRDefault="00000000" w:rsidRPr="00000000" w14:paraId="00000005">
      <w:pPr>
        <w:spacing w:line="276" w:lineRule="auto"/>
        <w:rPr>
          <w:color w:val="000000"/>
        </w:rPr>
      </w:pPr>
      <w:r w:rsidDel="00000000" w:rsidR="00000000" w:rsidRPr="00000000">
        <w:rPr>
          <w:rtl w:val="0"/>
        </w:rPr>
      </w:r>
    </w:p>
    <w:p w:rsidR="00000000" w:rsidDel="00000000" w:rsidP="00000000" w:rsidRDefault="00000000" w:rsidRPr="00000000" w14:paraId="00000006">
      <w:pPr>
        <w:spacing w:line="276" w:lineRule="auto"/>
        <w:rPr>
          <w:color w:val="000000"/>
        </w:rPr>
      </w:pPr>
      <w:r w:rsidDel="00000000" w:rsidR="00000000" w:rsidRPr="00000000">
        <w:rPr>
          <w:color w:val="000000"/>
          <w:rtl w:val="0"/>
        </w:rPr>
        <w:t xml:space="preserve">The initiative's name is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Since 2015, two successive Mellon initiatives by this name have supported public scholars at the University of Washington–both faculty developing new graduate seminars in the humanities with public-facing components, and doctoral students pursuing public projects in the humanities. The episodes of </w:t>
      </w:r>
      <w:r w:rsidDel="00000000" w:rsidR="00000000" w:rsidRPr="00000000">
        <w:rPr>
          <w:i w:val="1"/>
          <w:color w:val="000000"/>
          <w:rtl w:val="0"/>
        </w:rPr>
        <w:t xml:space="preserve">Going Public</w:t>
      </w:r>
      <w:r w:rsidDel="00000000" w:rsidR="00000000" w:rsidRPr="00000000">
        <w:rPr>
          <w:color w:val="000000"/>
          <w:rtl w:val="0"/>
        </w:rPr>
        <w:t xml:space="preserve"> consist of interviews with Mellon-supported public scholars after they have launched their projects or taught their public-facing seminars.</w:t>
      </w:r>
    </w:p>
    <w:p w:rsidR="00000000" w:rsidDel="00000000" w:rsidP="00000000" w:rsidRDefault="00000000" w:rsidRPr="00000000" w14:paraId="00000007">
      <w:pPr>
        <w:spacing w:line="276" w:lineRule="auto"/>
        <w:rPr>
          <w:color w:val="000000"/>
        </w:rPr>
      </w:pPr>
      <w:r w:rsidDel="00000000" w:rsidR="00000000" w:rsidRPr="00000000">
        <w:rPr>
          <w:rtl w:val="0"/>
        </w:rPr>
      </w:r>
    </w:p>
    <w:p w:rsidR="00000000" w:rsidDel="00000000" w:rsidP="00000000" w:rsidRDefault="00000000" w:rsidRPr="00000000" w14:paraId="00000008">
      <w:pPr>
        <w:spacing w:line="276" w:lineRule="auto"/>
        <w:rPr>
          <w:color w:val="000000"/>
        </w:rPr>
      </w:pPr>
      <w:r w:rsidDel="00000000" w:rsidR="00000000" w:rsidRPr="00000000">
        <w:rPr>
          <w:color w:val="000000"/>
          <w:rtl w:val="0"/>
        </w:rPr>
        <w:t xml:space="preserve">Please do check out our companion website, which includes faculty fellow syllabi as well as doctoral student fellow project overviews, artifacts, and other ephemera.</w:t>
      </w:r>
    </w:p>
    <w:p w:rsidR="00000000" w:rsidDel="00000000" w:rsidP="00000000" w:rsidRDefault="00000000" w:rsidRPr="00000000" w14:paraId="00000009">
      <w:pPr>
        <w:spacing w:line="276" w:lineRule="auto"/>
        <w:rPr>
          <w:color w:val="000000"/>
        </w:rPr>
      </w:pPr>
      <w:r w:rsidDel="00000000" w:rsidR="00000000" w:rsidRPr="00000000">
        <w:rPr>
          <w:rtl w:val="0"/>
        </w:rPr>
      </w:r>
    </w:p>
    <w:p w:rsidR="00000000" w:rsidDel="00000000" w:rsidP="00000000" w:rsidRDefault="00000000" w:rsidRPr="00000000" w14:paraId="0000000A">
      <w:pPr>
        <w:spacing w:line="276" w:lineRule="auto"/>
        <w:rPr>
          <w:color w:val="000000"/>
        </w:rPr>
      </w:pPr>
      <w:r w:rsidDel="00000000" w:rsidR="00000000" w:rsidRPr="00000000">
        <w:rPr>
          <w:color w:val="000000"/>
          <w:rtl w:val="0"/>
        </w:rPr>
        <w:t xml:space="preserve">The podcast, along with the website, is intended to serve as a resource for scholars interested in developing similar projects and seminars. You can find the </w:t>
      </w:r>
      <w:r w:rsidDel="00000000" w:rsidR="00000000" w:rsidRPr="00000000">
        <w:rPr>
          <w:i w:val="1"/>
          <w:color w:val="000000"/>
          <w:rtl w:val="0"/>
        </w:rPr>
        <w:t xml:space="preserve">Going Public</w:t>
      </w:r>
      <w:r w:rsidDel="00000000" w:rsidR="00000000" w:rsidRPr="00000000">
        <w:rPr>
          <w:color w:val="000000"/>
          <w:rtl w:val="0"/>
        </w:rPr>
        <w:t xml:space="preserve"> website at </w:t>
      </w:r>
      <w:hyperlink r:id="rId7">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You can also find the link in the description of today’s episode. </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color w:val="000000"/>
          <w:rtl w:val="0"/>
        </w:rPr>
        <w:t xml:space="preserve">Today's episode, "Dwelling Critically," is an interview with Jesse Oak Taylor, Associate Professor of English and Director of Undergraduate Programs in the English Department at the University of Washington. In the summer of 2020, Jesse received a Mellon Summer Fellowship for New Graduate Seminars in the Humanities. Over that summer, he developed a course titled “Ecocriticism: A Seminar in the Public Humanities,” which he taught for the first time in winter of 2022. Our conversation explores, among other things, the difference between ecocriticism and environmental humanities, the value of public-facing writing, and the payoff of experimentation in doctoral education.</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center"/>
        <w:rPr>
          <w:color w:val="00000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color w:val="000000"/>
          <w:rtl w:val="0"/>
        </w:rPr>
        <w:t xml:space="preserve">ANNIE DWYER: Jesse, thank you so much for joining me today. </w:t>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color w:val="000000"/>
          <w:rtl w:val="0"/>
        </w:rPr>
        <w:t xml:space="preserve">JESSE OAK TAYLOR: Absolutely. Thanks for having me.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ANNIE DWYER: Your course offers an introduction to ecocriticism and publicly-engaged intellectual work. You make this interesting distinction in your course description between ecocriticism and terms like the "environmental humanities." Can you speak a little more to that? How is ecocriticism distinct, and what kind of work is it doing to anchor your course?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JESSE OAK TAYLOR: Sure. The answer has a couple of parts. The most basic answer is that environmental humanities is a broadly interdisciplinary field (if it is even a field–it’s a constellation of fields) that involves people from History. Environmental history is one of the most established disciplinary venues for environmental work in the humanities. </w:t>
      </w:r>
      <w:r w:rsidDel="00000000" w:rsidR="00000000" w:rsidRPr="00000000">
        <w:rPr>
          <w:color w:val="000000"/>
          <w:rtl w:val="0"/>
        </w:rPr>
        <w:t xml:space="preserve">Ecocriticism is the version that plays out in literary studies. It's literary critics thinking about the environment and thinking about their practice in relation to environmental issues.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But especially as I was framing this course and as I was trying to…initially, I was trying to use the term "ecocriticism" to help narrow the focus a little bit, trying to pick “What are we going to cover?” But in the course of doing that, I was leaning on the term a little more and thinking about how criticism as a mode of practice that wouldn't have to be only environmental–it could focus on anything–is both a mode of paying attention, of reading carefully and closely–whether you're reading a text or whether you're encountering any other kind of object, paying close attention to it. But then certainly once you try to share that reading, it also has this critical edge. It involves a form of assessment in the way that, when you read a book review or a film review in the newspaper, part of what you're wondering is: “Is this a good movie or not? Should I go see this? Should I go to this restaurant?” We don't always think about academic criticism as having that evaluative component, but that was another piece that I wanted to hold on to.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Over on the other side, the “eco” side: the prefix "eco" comes from "oikos," which means "house" or "dwelling" in Greek. And in that sense, it's the same prefix as "economy." Both are ways of dwelling, thinking about how we live. On some basic level, "ecocriticism" means thinking critically about dwelling or even dwelling critically. One of the things that we tried to do in the course was to keep circling back to how the people we were reading, and the discussions we were having were ways of dwelling in place in a more conscientious way. Sometimes that involved discussions about your carbon footprint or how to live. But that wasn't the main emphasis we were trying to give it. It was more: “How do you dwell with attention? How do you close read your surroundings? How do you make ethical, artistic, aesthetic, political judgment about your surroundings?” </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ANNIE DWYER: I love that idea of dwelling critically. I'm wondering–to give listeners a little more of the texture of your course–how did you scaffold this? What was the week-to-week rhythm or assignment schedule like? </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color w:val="000000"/>
          <w:rtl w:val="0"/>
        </w:rPr>
        <w:t xml:space="preserve">JESSE OAK TAYLOR: It played out in several different ways. I was hoping that we would have some field trips. We were going to do a few things like that, all of which ended up getting scrapped because of COVID concerns. But the ways that it did play out…. One is in terms of what we were reading. Obviously, everything we read was to one extent or another public-facing, and I would say there was a range. We can maybe talk about that. It was a range of how public-facing. But certainly the first couple texts that we read in the quarter were memoirs that were also dealing with intellectual issues in a substantive way. That's Lauret Savoy's book</w:t>
      </w:r>
      <w:r w:rsidDel="00000000" w:rsidR="00000000" w:rsidRPr="00000000">
        <w:rPr>
          <w:color w:val="000000"/>
          <w:rtl w:val="0"/>
        </w:rPr>
        <w:t xml:space="preserve"> </w:t>
      </w:r>
      <w:r w:rsidDel="00000000" w:rsidR="00000000" w:rsidRPr="00000000">
        <w:rPr>
          <w:i w:val="1"/>
          <w:color w:val="000000"/>
          <w:rtl w:val="0"/>
        </w:rPr>
        <w:t xml:space="preserve">Trace</w:t>
      </w:r>
      <w:r w:rsidDel="00000000" w:rsidR="00000000" w:rsidRPr="00000000">
        <w:rPr>
          <w:color w:val="000000"/>
          <w:rtl w:val="0"/>
        </w:rPr>
        <w:t xml:space="preserve"> an</w:t>
      </w:r>
      <w:r w:rsidDel="00000000" w:rsidR="00000000" w:rsidRPr="00000000">
        <w:rPr>
          <w:color w:val="000000"/>
          <w:rtl w:val="0"/>
        </w:rPr>
        <w:t xml:space="preserve">d Robert Macfarlane's </w:t>
      </w:r>
      <w:r w:rsidDel="00000000" w:rsidR="00000000" w:rsidRPr="00000000">
        <w:rPr>
          <w:i w:val="1"/>
          <w:color w:val="000000"/>
          <w:rtl w:val="0"/>
        </w:rPr>
        <w:t xml:space="preserve">Underland</w:t>
      </w:r>
      <w:r w:rsidDel="00000000" w:rsidR="00000000" w:rsidRPr="00000000">
        <w:rPr>
          <w:color w:val="000000"/>
          <w:rtl w:val="0"/>
        </w:rPr>
        <w:t xml:space="preserve">–both of them explicitly take the reader on journeys. They talk about the travels that they're doing. They involve these personal reflections and so on so that you can see in the book a person reading the landscape and providing an interpretive reading of the landscape that they're moving through. </w:t>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color w:val="000000"/>
          <w:rtl w:val="0"/>
        </w:rPr>
        <w:t xml:space="preserve">In terms of the assignments, I had a weekly writing assignment every week. For the first several weeks, those were trying to push people into a form of creative writing. I was trying to get them out of their academic voice to do some kind of memoir-influenced writing or something more creative, more speculative. That stuck through the first five weeks–the first half of the quarter was different writing prompts that were asking people to play around in different ways with different voices. In the comments that I was giving people, I was going out of my way to push them further: “Great! This is awesome. What if you did this?” </w:t>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In the second half, the weekly writing assignments were designed to be scaffolding towards the final project. That worked well. The final projects that I got for this class were fantastic, so I'm going to try some form of that scaffolding of creative first-half weekly writings, scaffold it towards the final weekly writings in every graduate seminar I teach, forever. But in this case in particular, because it had the creative push, a number of students ended up developing something they had written as an experimental thing in one of those first weeks. That did become their final project. </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ANNIE DWYER: Oh, that's fantastic. Do you have any examples that you could share with us? </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JESSE OAK TAYLOR: Sure. One person was an avid surfer. And in those </w:t>
      </w:r>
      <w:r w:rsidDel="00000000" w:rsidR="00000000" w:rsidRPr="00000000">
        <w:rPr>
          <w:color w:val="000000"/>
          <w:rtl w:val="0"/>
        </w:rPr>
        <w:t xml:space="preserve">couple of first</w:t>
      </w:r>
      <w:r w:rsidDel="00000000" w:rsidR="00000000" w:rsidRPr="00000000">
        <w:rPr>
          <w:color w:val="000000"/>
          <w:rtl w:val="0"/>
        </w:rPr>
        <w:t xml:space="preserve"> weeks, when we were reading things </w:t>
      </w:r>
      <w:r w:rsidDel="00000000" w:rsidR="00000000" w:rsidRPr="00000000">
        <w:rPr>
          <w:color w:val="000000"/>
          <w:rtl w:val="0"/>
        </w:rPr>
        <w:t xml:space="preserve">like the Robert</w:t>
      </w:r>
      <w:r w:rsidDel="00000000" w:rsidR="00000000" w:rsidRPr="00000000">
        <w:rPr>
          <w:color w:val="000000"/>
          <w:rtl w:val="0"/>
        </w:rPr>
        <w:t xml:space="preserve"> Mcfarlane that involved caving and climbing and these types of things. This person had ended up writing [a] memoir about surfing. And I was like, “This is fabulous! Look at all these ways that it opens out into the planetary and how you have to be thinking about gravity and all these energy flows in order to talk about what happens when you surf.” And he developed that as a final essay.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Another person–I'm trying to think when she started on this idea. I think it came in a little later in the course, but I would have to go back and look back at the weekly writing. In any case, she was thinking about the commodity chain and buying a cheap t-shirt. And how would you connect the various dots of where this t-shirt came from in both human labor but also photosynthesis to grow cotton…and the whole colonial history of the cotton plants and all of these things? This was one where, as she was framing the project, she decided, “OK, I'm going to do a website and there's various things to map this commodity chain.” I was like, “Well, what if you could print it on the t-shirt?”–which was precisely the kind of thing that I wouldn't have even thought of if we hadn't been doing these various creative writing assignments. She not only took that and ran with it. In order to do that, she made a QR code and screen printed the QR code onto a t-shirt, which you can then track. It's a working QR code. I have it right here. It goes to her website, where she unpacks and maps the commodity chain. That was a wonderful example.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Several people did websites of different sorts. One person did an atlas of the Miyazaki film universe, </w:t>
      </w:r>
      <w:r w:rsidDel="00000000" w:rsidR="00000000" w:rsidRPr="00000000">
        <w:rPr>
          <w:i w:val="1"/>
          <w:color w:val="000000"/>
          <w:rtl w:val="0"/>
        </w:rPr>
        <w:t xml:space="preserve">Princess Mononoke</w:t>
      </w:r>
      <w:r w:rsidDel="00000000" w:rsidR="00000000" w:rsidRPr="00000000">
        <w:rPr>
          <w:color w:val="000000"/>
          <w:rtl w:val="0"/>
        </w:rPr>
        <w:t xml:space="preserve"> and all those films. One person started out writing a couple of poems, because I was encouraging people to do these more creative pieces. And what she ended up doing was basically writing a poem sequence about oak trees and history and memory.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In each case, I think people were a little uncomfortable at the beginning with the creative prompts. But then, A) they eventually had fun with it. And B) </w:t>
      </w:r>
      <w:r w:rsidDel="00000000" w:rsidR="00000000" w:rsidRPr="00000000">
        <w:rPr>
          <w:color w:val="000000"/>
          <w:rtl w:val="0"/>
        </w:rPr>
        <w:t xml:space="preserve">as it</w:t>
      </w:r>
      <w:r w:rsidDel="00000000" w:rsidR="00000000" w:rsidRPr="00000000">
        <w:rPr>
          <w:color w:val="000000"/>
          <w:rtl w:val="0"/>
        </w:rPr>
        <w:t xml:space="preserve"> played out, it led to these creative projects that were all the way across the board also sophisticated in terms of being reflexive about the way that they were writing, the connection between the forms they were using and the critical argument they were making. Because that was something that wasn't taken for granted.The one thing you couldn't do is write a straight-up academic essay. </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ANNIE DWYER: I love those examples. They're so interesting. And I'm thinking, too, about the materiality of the t-shirt. One of the productive tensions that might emerge in publicly-engaged work that emerges from [an] ecocritical perspective is this…I don't know. There's a way in which it calls into question the humanistic presumptions </w:t>
      </w:r>
      <w:r w:rsidDel="00000000" w:rsidR="00000000" w:rsidRPr="00000000">
        <w:rPr>
          <w:color w:val="000000"/>
          <w:rtl w:val="0"/>
        </w:rPr>
        <w:t xml:space="preserve">undergirding</w:t>
      </w:r>
      <w:r w:rsidDel="00000000" w:rsidR="00000000" w:rsidRPr="00000000">
        <w:rPr>
          <w:color w:val="000000"/>
          <w:rtl w:val="0"/>
        </w:rPr>
        <w:t xml:space="preserve"> conversations about publics and public scholarship. It becomes quickly apparent. I’m wondering if you might say a little more about how the practice of public scholarship shifts when non-human worlds enter into the scope of concerns.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JESSE OAK TAYLOR: It's a great question. One thing that was certainly true of my course, for the way the syllabus was put together, is that we read books. We read so that, all the way through it, we had a book a week. That was the schedule. In some respects, that's the classic grad seminar model, especially in disciplines that are more theory-heavy. The only other time that I've taught a seminar that operated on that model was a theory seminar where “public” was not part of the conversation. Otherwise, I have usually taught a series of novels and then articles and book introductions and all of that layered together.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But here I picked, week by week, books that were at least somewhat public-facing. For one thing, there are right now coming out a series of books that are thinking about non-humans in really interesting ways. So a real high point for me was Bathsheba Demuth's </w:t>
      </w:r>
      <w:r w:rsidDel="00000000" w:rsidR="00000000" w:rsidRPr="00000000">
        <w:rPr>
          <w:i w:val="1"/>
          <w:color w:val="000000"/>
          <w:rtl w:val="0"/>
        </w:rPr>
        <w:t xml:space="preserve">Floating Coast</w:t>
      </w:r>
      <w:r w:rsidDel="00000000" w:rsidR="00000000" w:rsidRPr="00000000">
        <w:rPr>
          <w:color w:val="000000"/>
          <w:rtl w:val="0"/>
        </w:rPr>
        <w:t xml:space="preserve">. She writes beautifully and in sophisticated ways about whales and caribou and energy flows and seals and foxes and folds all of this together. This is a beautiful model for thinking in richly more-than-human ways. We also talked about how a couple of the books that we were reading were unfair models. It's like watching the Olympics and being like, “Oh, here just go do that or something.”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ANNIE DWYER: [LAUGHING] Yeah. </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JESSE OAK TAYLOR: But laying that aside, I think that we are in a moment, culturally and intellectually, where people have found the language to talk about some of those questions in ways that can also be genuinely public-facing. The flip side is that some of the work that undergirds that is hard theory that is not public-facing at all. Without realizing it, we had this recurrent conversation that kept circling back to some principles of post-structuralist theory. An offshoot of this course, that went into going back and reading Derrida and things like that, would have made a lot of intellectual sense for some of the things that we were doing. That wasn't a presence on the syllabus, but I do think that questions of what is human, what isn't, are so hard and so richly philosophical that there are whole other seminars buried in them.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The flip side is that the public-facing nature of the writing–and again, especially with a few of these books </w:t>
      </w:r>
      <w:r w:rsidDel="00000000" w:rsidR="00000000" w:rsidRPr="00000000">
        <w:rPr>
          <w:color w:val="000000"/>
          <w:rtl w:val="0"/>
        </w:rPr>
        <w:t xml:space="preserve">that are</w:t>
      </w:r>
      <w:r w:rsidDel="00000000" w:rsidR="00000000" w:rsidRPr="00000000">
        <w:rPr>
          <w:color w:val="000000"/>
          <w:rtl w:val="0"/>
        </w:rPr>
        <w:t xml:space="preserve"> just good books–</w:t>
      </w:r>
      <w:r w:rsidDel="00000000" w:rsidR="00000000" w:rsidRPr="00000000">
        <w:rPr>
          <w:color w:val="000000"/>
          <w:rtl w:val="0"/>
        </w:rPr>
        <w:t xml:space="preserve">was [that] we were</w:t>
      </w:r>
      <w:r w:rsidDel="00000000" w:rsidR="00000000" w:rsidRPr="00000000">
        <w:rPr>
          <w:color w:val="000000"/>
          <w:rtl w:val="0"/>
        </w:rPr>
        <w:t xml:space="preserve"> able to have this rich conversation precisely because we weren't spending so much of our time trying to figure out what the person was saying. When you deal with a difficult piece of academic writing in a seminar, a lot of what you spend your time doing is working through, “OK, page 27, what does this mean?”...and unpacking it at that level. We did some of that. I occasionally found myself giving these off-the-cuff lectures about the history of such-and-such an idea and then realizing, “Oh, I probably screwed that up. That's terrible. They're never going to understand the history of whatever, because they heard it from me.” But one of the benefits to the public-facing material is precisely the complexity of the ideas that it brings in–in a different way. </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ANNIE DWYER: And it sounds like the work is primarily around engagement with those ideas rather than necessarily parsing them or comprehending them, because they're already presented in a way that's accessible to a lay audience. </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JESSE OAK TAYLOR: Yes. I think in general, yes. Well, and one other thing, I was just trying to think about your question of, what changes with the “eco” aspect? Another thing that definitely was recurrent through a number of the books, unsurprisingly, was an interest in energy and energy systems. That is so palpable in the world. Once you start realizing that almost everything around you is part of an energy system and you start looking at the sites of energy conversion in your immediate vicinity, it does change the way you look at the world–and in material ways. I don't know how much about those types of things people had thought coming in.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But as the quarter unfolded, those were some of the places where we were having robust discussions that involved the books. But they could also involve all these other things from people's lives </w:t>
      </w:r>
      <w:r w:rsidDel="00000000" w:rsidR="00000000" w:rsidRPr="00000000">
        <w:rPr>
          <w:color w:val="000000"/>
          <w:rtl w:val="0"/>
        </w:rPr>
        <w:t xml:space="preserve">by people being</w:t>
      </w:r>
      <w:r w:rsidDel="00000000" w:rsidR="00000000" w:rsidRPr="00000000">
        <w:rPr>
          <w:color w:val="000000"/>
          <w:rtl w:val="0"/>
        </w:rPr>
        <w:t xml:space="preserve"> able to start with these more creative pieces that were about their daily life…and then, in many cases, pick some piece of that to be their project that they were unpacking. There was one certain student who's in the School of Education and is doing a project on the history of summer camps. She's been a camp director. Her project was organized around the generator at this camp that she ran and how most of the campers barely even knew it was there hidden away in a shed but important for all of these various features about how the camp runs. It's this big, clunky old diesel-powered generator. A lot of her project was thinking about suddenly paying attention to this thing that's designed to not be paid attention to. </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That's ideology. On some level, it's this physical form of it. But it opens into all these other questions about various other forms of ideology. So I think that words like "material" get used so much in so many different ways in academic discourse, but energy in particular exists as this material thing. The laws of thermodynamics describe actual things in the world. Once you start there and that's the starting point of your discussion, it renders everything else more tangible in important ways. </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ANNIE DWYER: As you're talking about how students are attending more closely to the material world, to their lived experiences, the question of activism comes up for me and the politics of the ideas that you're exploring. As students are trying to think about ecocriticism as a publicly-engaged practice, how does that overlap with or diverge from something like environmental activism or climate activism? And did you have any discussions about that? </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JESSE OAK TAYLOR: We did. It's a great question. Interestingly, I don't know that any of the projects were activist projects. The closest was perhaps the t-shirt. When we talked a little about how you could even do a kind of applied activist version of this–you could print off those little QR codes and then go running through Target sticking them on all the clothes and try to have an intervention that way. We certainly talked a lot about the broader political and ethical implications of the inquiries that people were making. I think that, in a future version, I might try to include a unit or something that asks this question a little more directly, especially around rhetorical strategies within activist communities…would be the way that I would want to frame that. </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We read Daegan Miller's book at the end of the quarter, which is called </w:t>
      </w:r>
      <w:r w:rsidDel="00000000" w:rsidR="00000000" w:rsidRPr="00000000">
        <w:rPr>
          <w:i w:val="1"/>
          <w:color w:val="000000"/>
          <w:rtl w:val="0"/>
        </w:rPr>
        <w:t xml:space="preserve">This Radical Land: A Natural History of American Dissent.</w:t>
      </w:r>
      <w:r w:rsidDel="00000000" w:rsidR="00000000" w:rsidRPr="00000000">
        <w:rPr>
          <w:color w:val="000000"/>
          <w:rtl w:val="0"/>
        </w:rPr>
        <w:t xml:space="preserve"> He talks about these different examples of resistance communities. He goes to Thoreau. But he </w:t>
      </w:r>
      <w:r w:rsidDel="00000000" w:rsidR="00000000" w:rsidRPr="00000000">
        <w:rPr>
          <w:color w:val="000000"/>
          <w:rtl w:val="0"/>
        </w:rPr>
        <w:t xml:space="preserve">goes also</w:t>
      </w:r>
      <w:r w:rsidDel="00000000" w:rsidR="00000000" w:rsidRPr="00000000">
        <w:rPr>
          <w:color w:val="000000"/>
          <w:rtl w:val="0"/>
        </w:rPr>
        <w:t xml:space="preserve"> to this socialist commune in the Redwoods that was trying to do a different social order and has a number of other examples. All of them to one degree or another failed because the history of the American 19th century is one of capitalist expansion and the destruction of nature. But he's trying to uncover these countercurrents. </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We didn't read </w:t>
      </w:r>
      <w:r w:rsidDel="00000000" w:rsidR="00000000" w:rsidRPr="00000000">
        <w:rPr>
          <w:color w:val="000000"/>
          <w:rtl w:val="0"/>
        </w:rPr>
        <w:t xml:space="preserve">any what</w:t>
      </w:r>
      <w:r w:rsidDel="00000000" w:rsidR="00000000" w:rsidRPr="00000000">
        <w:rPr>
          <w:color w:val="000000"/>
          <w:rtl w:val="0"/>
        </w:rPr>
        <w:t xml:space="preserve"> you might call "straight-up activist books." We didn't read a book by Bill McKibben or Greta Thunberg. I thought for a little while about Andreas Malm, reading </w:t>
      </w:r>
      <w:r w:rsidDel="00000000" w:rsidR="00000000" w:rsidRPr="00000000">
        <w:rPr>
          <w:i w:val="1"/>
          <w:color w:val="000000"/>
          <w:rtl w:val="0"/>
        </w:rPr>
        <w:t xml:space="preserve">How to Blow Up a Pipeline</w:t>
      </w:r>
      <w:r w:rsidDel="00000000" w:rsidR="00000000" w:rsidRPr="00000000">
        <w:rPr>
          <w:color w:val="000000"/>
          <w:rtl w:val="0"/>
        </w:rPr>
        <w:t xml:space="preserve">. Rob Nixon's book, </w:t>
      </w:r>
      <w:r w:rsidDel="00000000" w:rsidR="00000000" w:rsidRPr="00000000">
        <w:rPr>
          <w:i w:val="1"/>
          <w:color w:val="000000"/>
          <w:rtl w:val="0"/>
        </w:rPr>
        <w:t xml:space="preserve">Slow Violence and Environmentalism of the Poor</w:t>
      </w:r>
      <w:r w:rsidDel="00000000" w:rsidR="00000000" w:rsidRPr="00000000">
        <w:rPr>
          <w:color w:val="000000"/>
          <w:rtl w:val="0"/>
        </w:rPr>
        <w:t xml:space="preserve">, foregrounds activism. The scholar-activist figure is at the center of Nixon's project. We definitely talked about it in that context. And honestly, the week that we talked about Rob Nixon's book was probably our best discussion of the quarter. I'm not entirely sure why, but I think it's because if there's a spectrum of how public-facing the book is, how academic the book is, Nixon's is on the academic side of the spectrum that we were in but still public enough that it was right at a sweet spot. </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ANNIE DWYER: I wonder if we can dig into that a little because your class is facing this challenge of both introducing students to public-facing work that falls under the ambit of ecocriticism in some way or within the ambit of ecocriticism in some way, and then you're also shifting between local and planetary scales and the deep time of the planet and the dizzying speed of the news cycle. There’s so many different shifts in scale and things to address. I wonder if you can speak a little to how to sort through these different priorities and how to do that recalibration in scale that I think an ecocriticism class in particular requires you to do. </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JESSE OAK TAYLOR: It's a tough challenge–it's always a tough challenge. There are certainly multiple versions of this course that I could imagine and that I considered. But one thing I haven't done is one that's organized around the Northwest. I would love to do that. It wouldn't just be local because the environmental history here is so fascinating and so connected to global issues on all these different fronts. </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We talked a little about that in relation to the Bathsheba Demuth book. It does a fabulous job of having this regional focus that's also attentive to global connections. One of the things that I was upfront with on the first day of class was that the course has two main learning outcomes–as you mentioned, an introduction to ecocriticism and an introduction to the public humanities–and that sometimes those two things were going to be working together nicely but that also sometimes those two things were in tension. I do think that I ended up being very happy that I went with the “reading whole books” model. </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highlight w:val="yellow"/>
        </w:rPr>
      </w:pPr>
      <w:r w:rsidDel="00000000" w:rsidR="00000000" w:rsidRPr="00000000">
        <w:rPr>
          <w:color w:val="000000"/>
          <w:rtl w:val="0"/>
        </w:rPr>
        <w:t xml:space="preserve">ANNIE DWYER: There's something so valuable about reading a whole book and not just an excerpt.</w:t>
      </w:r>
      <w:r w:rsidDel="00000000" w:rsidR="00000000" w:rsidRPr="00000000">
        <w:rPr>
          <w:rtl w:val="0"/>
        </w:rPr>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JESSE OAK TAYLOR: So many students had that response. I wasn't sure because it hasn't been the norm for the way that I've taught graduate seminars. It wasn't the norm with a few exceptions, usually outside the English Department. It wasn't the norm for the type of graduate seminar I took. But it resonated with them. For one thing, it meant that you then could have a conversation about “How is this project put together? What's their evidence base? How were they able to do this?” And in some cases, that was “They're able to do this because they are an internationally known writer. They have tremendous amounts of funding.” We were trying to think: “If you were going to do this, what would you have to do? And therefore, if you don't have access to X, Y, or Z that this person does, what version of this might you be able to do?” </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One of the things that was interesting to me, when we got to the end of the quarter and we had a final project presentation day, many of the people built websites of one sort or another as a final project. We did not look at websites. We read books. Obviously, no one wrote a book, because that would be impossible. A few people did more essay-type things, but a lot of the form was something that we hadn't practiced or hadn't looked at models of. And I asked, “Well, do you think we should have?” And on the course evaluations, a couple of people said, “Yes, it would be nice to have models of the type of thing that we're doing.” </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But the majority of people said, “No, reading the books worked because of the way that we were able to have these discussions of how this project is put together.” That attention to the decisions that had to be made in order to structure the project–that transferred over to whatever else they were trying to do. It also was key–to go back to your question–to </w:t>
      </w:r>
      <w:r w:rsidDel="00000000" w:rsidR="00000000" w:rsidRPr="00000000">
        <w:rPr>
          <w:color w:val="000000"/>
          <w:rtl w:val="0"/>
        </w:rPr>
        <w:t xml:space="preserve">organizing</w:t>
      </w:r>
      <w:r w:rsidDel="00000000" w:rsidR="00000000" w:rsidRPr="00000000">
        <w:rPr>
          <w:color w:val="000000"/>
          <w:rtl w:val="0"/>
        </w:rPr>
        <w:t xml:space="preserve"> the term. It meant that, “OK, we have all these different questions that are overlapping. And rather than having a unit on the planet and a unit on climate change and a unit on deforestation, we have 10 weeks. We have 10 books.”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I try to have some distribution so that different books are picking up different pieces. But it meant that each week was dealing with some constellation of these problems. We had some recurrent themes. Scale, as you well know, is huge for any kind of environmental project. And then we would talk about, “How is this person dealing with the scale problem?” </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Some of the books were humanist. Some of them were post-humanist. That was a distinction that we would come back to at different points. But on some pragmatic level, it allowed me to put the syllabus together in a way that worked, because I just had to pick 10 books. </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ANNIE DWYER: Yeah. Yeah. Yeah.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JESSE OAK TAYLOR: We would talk about one of them, and so it gave us a fairly simple structure to move through. </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highlight w:val="yellow"/>
        </w:rPr>
      </w:pPr>
      <w:r w:rsidDel="00000000" w:rsidR="00000000" w:rsidRPr="00000000">
        <w:rPr>
          <w:color w:val="000000"/>
          <w:rtl w:val="0"/>
        </w:rPr>
        <w:t xml:space="preserve">ANNIE DWYER: Absolutely. That now makes sense to me. Having the book as a whole allows you to look at the mechanics of the book, how it's put together. And then that becomes transferable to other genres, other ways of writing, in a way that doesn't happen as easily when you're just taking an excerpt. Yeah. Thank you for giving language to that. Yeah. That makes a lot of sense. </w:t>
      </w:r>
      <w:r w:rsidDel="00000000" w:rsidR="00000000" w:rsidRPr="00000000">
        <w:rPr>
          <w:rtl w:val="0"/>
        </w:rPr>
      </w:r>
    </w:p>
    <w:p w:rsidR="00000000" w:rsidDel="00000000" w:rsidP="00000000" w:rsidRDefault="00000000" w:rsidRPr="00000000" w14:paraId="00000061">
      <w:pPr>
        <w:rPr>
          <w:color w:val="000000"/>
          <w:highlight w:val="yellow"/>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JESSE OAK TAYLOR: One other thing that I just realized I did want to talk about a little bit…in some other classes, I've played around with "public-facing work" specifically using Manifold, the digital publishing platform that we have access to. We didn't use it in this course because it’s good for collaborative work. But a couple of previous classes that I've taught have had Manifold projects. There's the experimental aspect, but experimentation is great as long as you're in a safe space. </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ANNIE DWYER: Exactly. Yeah.</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JESSE OAK TAYLOR: And the stakes are not too high. The impulse to go public with your public humanities work raises a whole other set of questions. That was a little less of a question in this grad seminar. Because I felt like it was totally up to them whether or not they were actually sharing these projects outside the class. </w:t>
      </w:r>
    </w:p>
    <w:p w:rsidR="00000000" w:rsidDel="00000000" w:rsidP="00000000" w:rsidRDefault="00000000" w:rsidRPr="00000000" w14:paraId="00000067">
      <w:pPr>
        <w:rPr>
          <w:color w:val="000000"/>
          <w:highlight w:val="yellow"/>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ANNIE DWYER: You're right. It raises a number of ethical questions. It's useful to think about the classroom itself as a public and as a place of experimentation. It doesn't necessarily need to lead to: everybody has access to this piece of writing, piece of work. </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JESSE OAK TAYLOR: Yeah. Yeah. I think that is the important piece. I need to think about and we probably all need to think about: “When we're talking about ‘public-facing,’ who's the public and when do you go public?” You can be practicing a public-facing voice without necessarily hitting “Publish” on the thing. </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color w:val="000000"/>
          <w:rtl w:val="0"/>
        </w:rPr>
        <w:t xml:space="preserve">ANNIE DWYER: Oh, I think that's such a wonderful note on which to end. What comes through so strongly in your class is the emphasis on play and experimentation and practice. Certainly, that's going to inform what your students do as they continue in their careers. </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color w:val="000000"/>
          <w:rtl w:val="0"/>
        </w:rPr>
        <w:t xml:space="preserve">JESSE OAK TAYLOR: I hope so. It was a fun class. This almost never happens to me–but I was genuinely sad when it ended. I would have happily signed on for five more weeks. That would have been fine. </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color w:val="000000"/>
          <w:rtl w:val="0"/>
        </w:rPr>
        <w:t xml:space="preserve">ANNIE DWYER: That's always a good sign, too. Thanks so much for talking to me today, Jesse. </w:t>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color w:val="000000"/>
          <w:rtl w:val="0"/>
        </w:rPr>
        <w:t xml:space="preserve">JESSE OAK TAYLOR: Yeah. Absolutely. Thank you. </w:t>
      </w:r>
    </w:p>
    <w:p w:rsidR="00000000" w:rsidDel="00000000" w:rsidP="00000000" w:rsidRDefault="00000000" w:rsidRPr="00000000" w14:paraId="00000073">
      <w:pPr>
        <w:rPr>
          <w:color w:val="000000"/>
        </w:rPr>
      </w:pPr>
      <w:r w:rsidDel="00000000" w:rsidR="00000000" w:rsidRPr="00000000">
        <w:rPr>
          <w:rtl w:val="0"/>
        </w:rPr>
      </w:r>
    </w:p>
    <w:p w:rsidR="00000000" w:rsidDel="00000000" w:rsidP="00000000" w:rsidRDefault="00000000" w:rsidRPr="00000000" w14:paraId="00000074">
      <w:pPr>
        <w:jc w:val="center"/>
        <w:rPr>
          <w:color w:val="000000"/>
        </w:rPr>
      </w:pPr>
      <w:r w:rsidDel="00000000" w:rsidR="00000000" w:rsidRPr="00000000">
        <w:rPr>
          <w:color w:val="000000"/>
          <w:rtl w:val="0"/>
        </w:rPr>
        <w:t xml:space="preserve">…</w:t>
      </w:r>
    </w:p>
    <w:p w:rsidR="00000000" w:rsidDel="00000000" w:rsidP="00000000" w:rsidRDefault="00000000" w:rsidRPr="00000000" w14:paraId="00000075">
      <w:pPr>
        <w:rPr>
          <w:color w:val="000000"/>
        </w:rPr>
      </w:pP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color w:val="000000"/>
          <w:rtl w:val="0"/>
        </w:rPr>
        <w:t xml:space="preserve">ANNIE DWYER: This episode of </w:t>
      </w:r>
      <w:r w:rsidDel="00000000" w:rsidR="00000000" w:rsidRPr="00000000">
        <w:rPr>
          <w:i w:val="1"/>
          <w:color w:val="000000"/>
          <w:rtl w:val="0"/>
        </w:rPr>
        <w:t xml:space="preserve">Going Public </w:t>
      </w:r>
      <w:r w:rsidDel="00000000" w:rsidR="00000000" w:rsidRPr="00000000">
        <w:rPr>
          <w:color w:val="000000"/>
          <w:rtl w:val="0"/>
        </w:rPr>
        <w:t xml:space="preserve">was made possible with help from the University of Washington’s Simpson Center for the Humanities staff, particularly, C. R. Grimmer, who is also the Communications Manager at the Simpson Center; our sound editor, Oliver Gordon; and of course, support from The Mellon Foundation. The Mellon initiative at the Simpson Center, </w:t>
      </w:r>
      <w:r w:rsidDel="00000000" w:rsidR="00000000" w:rsidRPr="00000000">
        <w:rPr>
          <w:i w:val="1"/>
          <w:color w:val="000000"/>
          <w:rtl w:val="0"/>
        </w:rPr>
        <w:t xml:space="preserve">Reimagining the Humanities PhD and Reaching New Publics: Catalyzing Collaboration</w:t>
      </w:r>
      <w:r w:rsidDel="00000000" w:rsidR="00000000" w:rsidRPr="00000000">
        <w:rPr>
          <w:color w:val="000000"/>
          <w:rtl w:val="0"/>
        </w:rPr>
        <w:t xml:space="preserve"> was led by Kathleen Woodward, Director of the Mellon initiative, Director of the Simpson Center, and UW Professor of English; Rachel Arteaga, Assistant Director of the Simpson Center and Associate Program Director of the Mellon initiative, and myself, Annie Dwyer, Assistant Program Director of the Mellon initiative. We hope you check out additional episodes of </w:t>
      </w:r>
      <w:r w:rsidDel="00000000" w:rsidR="00000000" w:rsidRPr="00000000">
        <w:rPr>
          <w:i w:val="1"/>
          <w:color w:val="000000"/>
          <w:rtl w:val="0"/>
        </w:rPr>
        <w:t xml:space="preserve">Going Public</w:t>
      </w:r>
      <w:r w:rsidDel="00000000" w:rsidR="00000000" w:rsidRPr="00000000">
        <w:rPr>
          <w:color w:val="000000"/>
          <w:rtl w:val="0"/>
        </w:rPr>
        <w:t xml:space="preserve"> on our website at </w:t>
      </w:r>
      <w:hyperlink r:id="rId8">
        <w:r w:rsidDel="00000000" w:rsidR="00000000" w:rsidRPr="00000000">
          <w:rPr>
            <w:color w:val="000000"/>
            <w:u w:val="single"/>
            <w:rtl w:val="0"/>
          </w:rPr>
          <w:t xml:space="preserve">www.simpsoncenter.org/goingpublic</w:t>
        </w:r>
      </w:hyperlink>
      <w:r w:rsidDel="00000000" w:rsidR="00000000" w:rsidRPr="00000000">
        <w:rPr>
          <w:color w:val="000000"/>
          <w:rtl w:val="0"/>
        </w:rPr>
        <w:t xml:space="preserve"> and wherever you get your podcasts.</w:t>
      </w:r>
    </w:p>
    <w:p w:rsidR="00000000" w:rsidDel="00000000" w:rsidP="00000000" w:rsidRDefault="00000000" w:rsidRPr="00000000" w14:paraId="00000077">
      <w:pPr>
        <w:rPr>
          <w:color w:val="000000"/>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0"/>
      <w:keepLines w:val="0"/>
      <w:widowControl w:val="1"/>
    </w:pPr>
    <w:rPr>
      <w:rFonts w:ascii="Palatino" w:cs="Palatino" w:eastAsia="Palatino" w:hAnsi="Palatino"/>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spacing w:after="120" w:lineRule="auto"/>
    </w:pPr>
    <w:rPr>
      <w:rFonts w:ascii="Palatino" w:cs="Palatino" w:eastAsia="Palatino" w:hAnsi="Palatino"/>
      <w:sz w:val="36"/>
      <w:szCs w:val="36"/>
    </w:rPr>
  </w:style>
  <w:style w:type="paragraph" w:styleId="Heading2">
    <w:name w:val="heading 2"/>
    <w:basedOn w:val="Normal"/>
    <w:next w:val="Normal"/>
    <w:pPr>
      <w:keepNext w:val="0"/>
      <w:keepLines w:val="0"/>
      <w:widowControl w:val="1"/>
      <w:spacing w:after="160" w:before="120" w:lineRule="auto"/>
    </w:pPr>
    <w:rPr>
      <w:rFonts w:ascii="Arial" w:cs="Arial" w:eastAsia="Arial" w:hAnsi="Arial"/>
      <w:b w:val="1"/>
      <w:sz w:val="26"/>
      <w:szCs w:val="26"/>
    </w:rPr>
  </w:style>
  <w:style w:type="paragraph" w:styleId="Heading3">
    <w:name w:val="heading 3"/>
    <w:basedOn w:val="Normal"/>
    <w:next w:val="Normal"/>
    <w:pPr>
      <w:keepNext w:val="0"/>
      <w:keepLines w:val="0"/>
      <w:widowControl w:val="1"/>
      <w:spacing w:after="160" w:before="120" w:lineRule="auto"/>
    </w:pPr>
    <w:rPr>
      <w:rFonts w:ascii="Arial" w:cs="Arial" w:eastAsia="Arial" w:hAnsi="Arial"/>
      <w:b w:val="1"/>
      <w:i w:val="1"/>
      <w:color w:val="666666"/>
      <w:sz w:val="24"/>
      <w:szCs w:val="24"/>
    </w:rPr>
  </w:style>
  <w:style w:type="paragraph" w:styleId="Heading4">
    <w:name w:val="heading 4"/>
    <w:basedOn w:val="Normal"/>
    <w:next w:val="Normal"/>
    <w:pPr>
      <w:keepNext w:val="0"/>
      <w:keepLines w:val="0"/>
      <w:widowControl w:val="1"/>
      <w:spacing w:after="120" w:before="120" w:lineRule="auto"/>
    </w:pPr>
    <w:rPr>
      <w:rFonts w:ascii="Palatino" w:cs="Palatino" w:eastAsia="Palatino" w:hAnsi="Palatino"/>
      <w:b w:val="1"/>
      <w:sz w:val="24"/>
      <w:szCs w:val="24"/>
    </w:rPr>
  </w:style>
  <w:style w:type="paragraph" w:styleId="Heading5">
    <w:name w:val="heading 5"/>
    <w:basedOn w:val="Normal"/>
    <w:next w:val="Normal"/>
    <w:pPr>
      <w:keepNext w:val="0"/>
      <w:keepLines w:val="0"/>
      <w:widowControl w:val="1"/>
      <w:spacing w:after="120" w:before="120" w:lineRule="auto"/>
    </w:pPr>
    <w:rPr>
      <w:rFonts w:ascii="Arial" w:cs="Arial" w:eastAsia="Arial" w:hAnsi="Arial"/>
      <w:b w:val="1"/>
      <w:sz w:val="22"/>
      <w:szCs w:val="22"/>
    </w:rPr>
  </w:style>
  <w:style w:type="paragraph" w:styleId="Heading6">
    <w:name w:val="heading 6"/>
    <w:basedOn w:val="Normal"/>
    <w:next w:val="Normal"/>
    <w:pPr>
      <w:keepNext w:val="0"/>
      <w:keepLines w:val="0"/>
      <w:widowControl w:val="1"/>
      <w:spacing w:after="120" w:before="120" w:lineRule="auto"/>
    </w:pPr>
    <w:rPr>
      <w:rFonts w:ascii="Arial" w:cs="Arial" w:eastAsia="Arial" w:hAnsi="Arial"/>
      <w:i w:val="1"/>
      <w:color w:val="666666"/>
      <w:sz w:val="22"/>
      <w:szCs w:val="22"/>
      <w:u w:val="singl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pPr>
      <w:spacing w:after="0" w:before="0" w:line="459.99999999999994" w:lineRule="auto"/>
    </w:pPr>
  </w:style>
  <w:style w:type="paragraph" w:styleId="Heading1">
    <w:name w:val="heading 1"/>
    <w:basedOn w:val="Normal"/>
    <w:next w:val="Normal"/>
    <w:pPr>
      <w:keepNext w:val="0"/>
      <w:keepLines w:val="0"/>
      <w:widowControl w:val="1"/>
      <w:spacing w:after="120" w:lineRule="auto"/>
      <w:contextualSpacing w:val="1"/>
    </w:pPr>
    <w:rPr>
      <w:rFonts w:ascii="Palatino" w:cs="Palatino" w:eastAsia="Palatino" w:hAnsi="Palatino"/>
      <w:sz w:val="36"/>
    </w:rPr>
  </w:style>
  <w:style w:type="paragraph" w:styleId="Heading2">
    <w:name w:val="heading 2"/>
    <w:basedOn w:val="Normal"/>
    <w:next w:val="Normal"/>
    <w:pPr>
      <w:keepNext w:val="0"/>
      <w:keepLines w:val="0"/>
      <w:widowControl w:val="1"/>
      <w:spacing w:after="160" w:before="120" w:lineRule="auto"/>
      <w:contextualSpacing w:val="1"/>
    </w:pPr>
    <w:rPr>
      <w:rFonts w:ascii="Arial" w:cs="Arial" w:eastAsia="Arial" w:hAnsi="Arial"/>
      <w:b w:val="1"/>
      <w:sz w:val="26"/>
    </w:rPr>
  </w:style>
  <w:style w:type="paragraph" w:styleId="Heading3">
    <w:name w:val="heading 3"/>
    <w:basedOn w:val="Normal"/>
    <w:next w:val="Normal"/>
    <w:pPr>
      <w:keepNext w:val="0"/>
      <w:keepLines w:val="0"/>
      <w:widowControl w:val="1"/>
      <w:spacing w:after="160" w:before="120" w:lineRule="auto"/>
      <w:contextualSpacing w:val="1"/>
    </w:pPr>
    <w:rPr>
      <w:rFonts w:ascii="Arial" w:cs="Arial" w:eastAsia="Arial" w:hAnsi="Arial"/>
      <w:b w:val="1"/>
      <w:i w:val="1"/>
      <w:color w:val="666666"/>
      <w:sz w:val="24"/>
    </w:rPr>
  </w:style>
  <w:style w:type="paragraph" w:styleId="Heading4">
    <w:name w:val="heading 4"/>
    <w:basedOn w:val="Normal"/>
    <w:next w:val="Normal"/>
    <w:pPr>
      <w:keepNext w:val="0"/>
      <w:keepLines w:val="0"/>
      <w:widowControl w:val="1"/>
      <w:spacing w:after="120" w:before="120" w:lineRule="auto"/>
      <w:contextualSpacing w:val="1"/>
    </w:pPr>
    <w:rPr>
      <w:rFonts w:ascii="Palatino" w:cs="Palatino" w:eastAsia="Palatino" w:hAnsi="Palatino"/>
      <w:b w:val="1"/>
      <w:sz w:val="24"/>
    </w:rPr>
  </w:style>
  <w:style w:type="paragraph" w:styleId="Heading5">
    <w:name w:val="heading 5"/>
    <w:basedOn w:val="Normal"/>
    <w:next w:val="Normal"/>
    <w:pPr>
      <w:keepNext w:val="0"/>
      <w:keepLines w:val="0"/>
      <w:widowControl w:val="1"/>
      <w:spacing w:after="120" w:before="120" w:lineRule="auto"/>
      <w:contextualSpacing w:val="1"/>
    </w:pPr>
    <w:rPr>
      <w:rFonts w:ascii="Arial" w:cs="Arial" w:eastAsia="Arial" w:hAnsi="Arial"/>
      <w:b w:val="1"/>
      <w:sz w:val="22"/>
    </w:rPr>
  </w:style>
  <w:style w:type="paragraph" w:styleId="Heading6">
    <w:name w:val="heading 6"/>
    <w:basedOn w:val="Normal"/>
    <w:next w:val="Normal"/>
    <w:pPr>
      <w:keepNext w:val="0"/>
      <w:keepLines w:val="0"/>
      <w:widowControl w:val="1"/>
      <w:spacing w:after="120" w:before="120" w:lineRule="auto"/>
      <w:contextualSpacing w:val="1"/>
    </w:pPr>
    <w:rPr>
      <w:rFonts w:ascii="Arial" w:cs="Arial" w:eastAsia="Arial" w:hAnsi="Arial"/>
      <w:i w:val="1"/>
      <w:color w:val="666666"/>
      <w:sz w:val="22"/>
      <w:u w:val="single"/>
    </w:rPr>
  </w:style>
  <w:style w:type="paragraph" w:styleId="Title">
    <w:name w:val="title"/>
    <w:basedOn w:val="Normal"/>
    <w:next w:val="Normal"/>
    <w:pPr>
      <w:keepNext w:val="0"/>
      <w:keepLines w:val="0"/>
      <w:widowControl w:val="1"/>
      <w:contextualSpacing w:val="1"/>
    </w:pPr>
    <w:rPr>
      <w:rFonts w:ascii="Palatino" w:cs="Palatino" w:eastAsia="Palatino" w:hAnsi="Palatino"/>
      <w:sz w:val="60"/>
    </w:rPr>
  </w:style>
  <w:style w:type="paragraph" w:styleId="Subtitle">
    <w:name w:val="subtitle"/>
    <w:basedOn w:val="Normal"/>
    <w:next w:val="Normal"/>
    <w:pPr>
      <w:keepNext w:val="0"/>
      <w:keepLines w:val="0"/>
      <w:widowControl w:val="1"/>
      <w:spacing w:before="60" w:lineRule="auto"/>
      <w:contextualSpacing w:val="1"/>
    </w:pPr>
    <w:rPr>
      <w:rFonts w:ascii="Arial" w:cs="Arial" w:eastAsia="Arial" w:hAnsi="Arial"/>
      <w:sz w:val="28"/>
    </w:rPr>
  </w:style>
  <w:style w:type="table" w:styleId="Default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impsoncenter.org/goingpublic" TargetMode="External"/><Relationship Id="rId8" Type="http://schemas.openxmlformats.org/officeDocument/2006/relationships/hyperlink" Target="http://www.simpsoncenter.org/going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WIEIUdoZogO8nBPP/lYz+X3wg==">AMUW2mUxILuidbR7mUpaVKmOPqrbXMypVIVQwAwXFY1n2vfC1kH/RAh1MtuB+LMu4+td21c5Qux/gkC7qM8m44WyoSwSb9r1Es78WxGqJIRyx0OuykSXx7U=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